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8DB" w:rsidRDefault="00D138F4">
      <w:pPr>
        <w:spacing w:after="111" w:line="259" w:lineRule="auto"/>
        <w:ind w:left="3709" w:right="0" w:hanging="10"/>
        <w:jc w:val="left"/>
      </w:pPr>
      <w:bookmarkStart w:id="0" w:name="_GoBack"/>
      <w:bookmarkEnd w:id="0"/>
      <w:r>
        <w:rPr>
          <w:b/>
        </w:rPr>
        <w:t xml:space="preserve">Załącznik nr 2 do Standardów Ochrony Małoletnich </w:t>
      </w:r>
    </w:p>
    <w:p w:rsidR="006C28DB" w:rsidRDefault="00D138F4">
      <w:pPr>
        <w:spacing w:after="112" w:line="259" w:lineRule="auto"/>
        <w:ind w:left="4537" w:right="0" w:firstLine="0"/>
        <w:jc w:val="left"/>
      </w:pPr>
      <w:r>
        <w:rPr>
          <w:b/>
        </w:rPr>
        <w:t xml:space="preserve"> </w:t>
      </w:r>
    </w:p>
    <w:p w:rsidR="006C28DB" w:rsidRDefault="00D138F4">
      <w:pPr>
        <w:spacing w:after="166" w:line="259" w:lineRule="auto"/>
        <w:ind w:left="1361" w:right="0" w:hanging="10"/>
        <w:jc w:val="left"/>
      </w:pPr>
      <w:r>
        <w:rPr>
          <w:b/>
        </w:rPr>
        <w:t xml:space="preserve">Procedura interwencyjna w sytuacji podejrzenia krzywdzenia </w:t>
      </w:r>
    </w:p>
    <w:p w:rsidR="006C28DB" w:rsidRDefault="00D138F4">
      <w:pPr>
        <w:spacing w:after="111" w:line="259" w:lineRule="auto"/>
        <w:ind w:left="1865" w:right="0" w:hanging="10"/>
        <w:jc w:val="left"/>
      </w:pPr>
      <w:proofErr w:type="gramStart"/>
      <w:r>
        <w:rPr>
          <w:b/>
        </w:rPr>
        <w:t>/  posiadania</w:t>
      </w:r>
      <w:proofErr w:type="gramEnd"/>
      <w:r>
        <w:rPr>
          <w:b/>
        </w:rPr>
        <w:t xml:space="preserve"> informacji o krzywdzeniu małoletniego </w:t>
      </w:r>
    </w:p>
    <w:p w:rsidR="006C28DB" w:rsidRDefault="00D138F4">
      <w:pPr>
        <w:spacing w:after="162" w:line="259" w:lineRule="auto"/>
        <w:ind w:left="4537" w:right="0" w:firstLine="0"/>
        <w:jc w:val="left"/>
      </w:pPr>
      <w:r>
        <w:t xml:space="preserve"> </w:t>
      </w:r>
    </w:p>
    <w:p w:rsidR="006C28DB" w:rsidRDefault="00D138F4">
      <w:pPr>
        <w:spacing w:after="163" w:line="259" w:lineRule="auto"/>
        <w:ind w:left="4395" w:right="0" w:hanging="10"/>
        <w:jc w:val="left"/>
      </w:pPr>
      <w:r>
        <w:rPr>
          <w:b/>
        </w:rPr>
        <w:t>§ 1</w:t>
      </w:r>
      <w:r>
        <w:t xml:space="preserve"> </w:t>
      </w:r>
    </w:p>
    <w:p w:rsidR="006C28DB" w:rsidRDefault="00D138F4">
      <w:pPr>
        <w:spacing w:after="111" w:line="259" w:lineRule="auto"/>
        <w:ind w:left="3330" w:right="0" w:hanging="10"/>
        <w:jc w:val="left"/>
      </w:pPr>
      <w:r>
        <w:rPr>
          <w:b/>
        </w:rPr>
        <w:t xml:space="preserve">Pojęcie terminologiczne </w:t>
      </w:r>
    </w:p>
    <w:p w:rsidR="006C28DB" w:rsidRDefault="00D138F4">
      <w:pPr>
        <w:numPr>
          <w:ilvl w:val="0"/>
          <w:numId w:val="1"/>
        </w:numPr>
        <w:ind w:right="0" w:hanging="360"/>
      </w:pPr>
      <w:r>
        <w:t xml:space="preserve">Zrozumienie definicji krzywdzenia dzieci jest kluczowe dla identyfikacji tego problemu oraz określenia skutecznych metod jego rozpoznawania, radzenia sobie z </w:t>
      </w:r>
      <w:proofErr w:type="gramStart"/>
      <w:r>
        <w:t>nim                        i</w:t>
      </w:r>
      <w:proofErr w:type="gramEnd"/>
      <w:r>
        <w:t xml:space="preserve"> prowadzenia działań profilaktycznych.  </w:t>
      </w:r>
    </w:p>
    <w:p w:rsidR="006C28DB" w:rsidRDefault="00D138F4">
      <w:pPr>
        <w:numPr>
          <w:ilvl w:val="0"/>
          <w:numId w:val="1"/>
        </w:numPr>
        <w:ind w:right="0" w:hanging="360"/>
      </w:pPr>
      <w:r>
        <w:t>Ogólnie krzywdzenie dzieci je</w:t>
      </w:r>
      <w:r>
        <w:t>st opisane jako dowolna działalność lub zaniechanie ze strony rodzica lub innego opiekuna, które powoduje u dziecka szkodę, potencjalną szkodę lub groźbę szkody. Istotne jest, że samo krzywdzenie nie musi być celowe, a definicje mogą skupiać się na konkret</w:t>
      </w:r>
      <w:r>
        <w:t xml:space="preserve">nej czynności lub rodzaju szkody wyrządzonej dzieciom przez rodziców lub opiekunów.  </w:t>
      </w:r>
    </w:p>
    <w:p w:rsidR="006C28DB" w:rsidRDefault="00D138F4">
      <w:pPr>
        <w:numPr>
          <w:ilvl w:val="0"/>
          <w:numId w:val="1"/>
        </w:numPr>
        <w:spacing w:after="152" w:line="259" w:lineRule="auto"/>
        <w:ind w:right="0" w:hanging="360"/>
      </w:pPr>
      <w:r>
        <w:t xml:space="preserve">Wyróżnia się podstawowe formy krzywdzenia dzieci: </w:t>
      </w:r>
    </w:p>
    <w:p w:rsidR="006C28DB" w:rsidRDefault="00D138F4">
      <w:pPr>
        <w:numPr>
          <w:ilvl w:val="0"/>
          <w:numId w:val="2"/>
        </w:numPr>
        <w:ind w:right="0" w:hanging="360"/>
      </w:pPr>
      <w:r>
        <w:t xml:space="preserve">Przemoc fizyczna: jest określana jako celowe użycie siły fizycznej lub narzędzi przeciwko </w:t>
      </w:r>
      <w:proofErr w:type="gramStart"/>
      <w:r>
        <w:t>dziecku</w:t>
      </w:r>
      <w:proofErr w:type="gramEnd"/>
      <w:r>
        <w:t xml:space="preserve">, prowadzące lub potencjalnie prowadzące do urazu fizycznego; </w:t>
      </w:r>
    </w:p>
    <w:p w:rsidR="006C28DB" w:rsidRDefault="00D138F4">
      <w:pPr>
        <w:numPr>
          <w:ilvl w:val="0"/>
          <w:numId w:val="2"/>
        </w:numPr>
        <w:ind w:right="0" w:hanging="360"/>
      </w:pPr>
      <w:r>
        <w:t>Wykorzystywanie seksualne (przemoc seksualna): obejmuje przeprowadzane lub zamierzone akty seksu</w:t>
      </w:r>
      <w:r>
        <w:t xml:space="preserve">alne, jak również wszelkie formy kontaktu seksualnego, które stanowią próbę seksualnej interakcji z dzieckiem. Wyróżnia się również bezkontaktowe formy uwodzenia seksualnego (grooming); </w:t>
      </w:r>
    </w:p>
    <w:p w:rsidR="006C28DB" w:rsidRDefault="00D138F4">
      <w:pPr>
        <w:numPr>
          <w:ilvl w:val="0"/>
          <w:numId w:val="2"/>
        </w:numPr>
        <w:ind w:right="0" w:hanging="360"/>
      </w:pPr>
      <w:r>
        <w:t>Przemoc psychiczna lub emocjonalna: to celowe zachowanie przekazujące</w:t>
      </w:r>
      <w:r>
        <w:t xml:space="preserve"> dziecku, że jest bezwartościowe, niekochane, niechciane, zagrożone lub cenione jedynie za zaspokajanie potrzeb innych; </w:t>
      </w:r>
    </w:p>
    <w:p w:rsidR="006C28DB" w:rsidRDefault="00D138F4">
      <w:pPr>
        <w:numPr>
          <w:ilvl w:val="0"/>
          <w:numId w:val="2"/>
        </w:numPr>
        <w:ind w:right="0" w:hanging="360"/>
      </w:pPr>
      <w:r>
        <w:t>Zaniedbywanie: oznacza niezaspokojenie podstawowych fizycznych, emocjonalnych, medycznych/dentystycznych lub edukacyjnych potrzeb dziec</w:t>
      </w:r>
      <w:r>
        <w:t xml:space="preserve">ka, w tym brak zapewnienia odpowiedniego pożywienia, higieny, schronienia lub bezpieczeństwa. </w:t>
      </w:r>
    </w:p>
    <w:p w:rsidR="006C28DB" w:rsidRDefault="00D138F4">
      <w:pPr>
        <w:numPr>
          <w:ilvl w:val="0"/>
          <w:numId w:val="2"/>
        </w:numPr>
        <w:ind w:right="0" w:hanging="360"/>
      </w:pPr>
      <w:r>
        <w:t xml:space="preserve">Dziecko świadkiem przemocy domowej: polega na byciu świadkiem incydentów, </w:t>
      </w:r>
      <w:proofErr w:type="spellStart"/>
      <w:r>
        <w:t>zachowań</w:t>
      </w:r>
      <w:proofErr w:type="spellEnd"/>
      <w:r>
        <w:t>, przemocy lub nadużyć między partnerami będącymi w relacji intymnej, niezależn</w:t>
      </w:r>
      <w:r>
        <w:t xml:space="preserve">ie od płci czy seksualności. </w:t>
      </w:r>
    </w:p>
    <w:p w:rsidR="006C28DB" w:rsidRDefault="00D138F4">
      <w:pPr>
        <w:spacing w:after="115" w:line="259" w:lineRule="auto"/>
        <w:ind w:left="0" w:right="0" w:firstLine="0"/>
        <w:jc w:val="left"/>
      </w:pPr>
      <w:r>
        <w:lastRenderedPageBreak/>
        <w:t xml:space="preserve"> </w:t>
      </w:r>
    </w:p>
    <w:p w:rsidR="006C28DB" w:rsidRDefault="00D138F4">
      <w:pPr>
        <w:spacing w:after="112" w:line="259" w:lineRule="auto"/>
        <w:ind w:left="0" w:right="0" w:firstLine="0"/>
        <w:jc w:val="left"/>
      </w:pPr>
      <w:r>
        <w:t xml:space="preserve"> </w:t>
      </w:r>
    </w:p>
    <w:p w:rsidR="006C28DB" w:rsidRDefault="00D138F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C28DB" w:rsidRDefault="00D138F4">
      <w:pPr>
        <w:spacing w:after="111" w:line="259" w:lineRule="auto"/>
        <w:ind w:left="10" w:right="4" w:hanging="10"/>
        <w:jc w:val="center"/>
      </w:pPr>
      <w:r>
        <w:rPr>
          <w:b/>
        </w:rPr>
        <w:t>§ 2</w:t>
      </w:r>
      <w:r>
        <w:t xml:space="preserve"> </w:t>
      </w:r>
    </w:p>
    <w:p w:rsidR="006C28DB" w:rsidRDefault="00D138F4">
      <w:pPr>
        <w:spacing w:after="144" w:line="259" w:lineRule="auto"/>
        <w:ind w:left="10" w:right="2" w:hanging="10"/>
        <w:jc w:val="center"/>
      </w:pPr>
      <w:r>
        <w:rPr>
          <w:b/>
        </w:rPr>
        <w:t xml:space="preserve">Symptomy  </w:t>
      </w:r>
    </w:p>
    <w:p w:rsidR="006C28DB" w:rsidRDefault="00D138F4">
      <w:pPr>
        <w:ind w:left="-1" w:right="0" w:firstLine="0"/>
      </w:pPr>
      <w:r>
        <w:t xml:space="preserve">Personel przedszkola </w:t>
      </w:r>
      <w:r>
        <w:t xml:space="preserve">zwraca szczególną uwagę na obecność w zachowaniu małoletniego symptomów wskazujących na krzywdzenie, zwłaszcza na możliwość popełnienia przestępstwa określonego w § 1. Należy zwrócić uwagę na następujące zachowania: </w:t>
      </w:r>
    </w:p>
    <w:p w:rsidR="006C28DB" w:rsidRDefault="00D138F4">
      <w:pPr>
        <w:numPr>
          <w:ilvl w:val="0"/>
          <w:numId w:val="3"/>
        </w:numPr>
        <w:ind w:right="0" w:hanging="360"/>
      </w:pPr>
      <w:r>
        <w:t>Dziecko posiada widoczne obrażenia ciał</w:t>
      </w:r>
      <w:r>
        <w:t xml:space="preserve">a, takie jak siniaki, poparzenia, ugryzienia, złamania kości itp., których pochodzenie trudno jest wyjaśnić. </w:t>
      </w:r>
    </w:p>
    <w:p w:rsidR="006C28DB" w:rsidRDefault="00D138F4">
      <w:pPr>
        <w:numPr>
          <w:ilvl w:val="0"/>
          <w:numId w:val="3"/>
        </w:numPr>
        <w:ind w:right="0" w:hanging="360"/>
      </w:pPr>
      <w:r>
        <w:t xml:space="preserve">Wyjaśnienia dziecka dotyczące tych obrażeń wydają się niewiarygodne, niemożliwe do uwierzenia lub niespójne; dziecko często je zmienia. </w:t>
      </w:r>
    </w:p>
    <w:p w:rsidR="006C28DB" w:rsidRDefault="00D138F4">
      <w:pPr>
        <w:numPr>
          <w:ilvl w:val="0"/>
          <w:numId w:val="3"/>
        </w:numPr>
        <w:spacing w:after="162" w:line="259" w:lineRule="auto"/>
        <w:ind w:right="0" w:hanging="360"/>
      </w:pPr>
      <w:r>
        <w:t>Dziecko w</w:t>
      </w:r>
      <w:r>
        <w:t xml:space="preserve">ykazuje niechęć do udziału w zajęciach obejmujących ćwiczenia fizyczne. </w:t>
      </w:r>
    </w:p>
    <w:p w:rsidR="006C28DB" w:rsidRDefault="00D138F4">
      <w:pPr>
        <w:numPr>
          <w:ilvl w:val="0"/>
          <w:numId w:val="3"/>
        </w:numPr>
        <w:ind w:right="0" w:hanging="360"/>
      </w:pPr>
      <w:r>
        <w:t xml:space="preserve">Dziecko nadmiernie zakrywa ciało, nieproporcjonalnie do sytuacji i warunków atmosferycznych. </w:t>
      </w:r>
    </w:p>
    <w:p w:rsidR="006C28DB" w:rsidRDefault="00D138F4">
      <w:pPr>
        <w:numPr>
          <w:ilvl w:val="0"/>
          <w:numId w:val="3"/>
        </w:numPr>
        <w:spacing w:after="144" w:line="259" w:lineRule="auto"/>
        <w:ind w:right="0" w:hanging="360"/>
      </w:pPr>
      <w:r>
        <w:t xml:space="preserve">Dziecko wzdryga się, gdy osoba dorosła podchodzi do niego. </w:t>
      </w:r>
    </w:p>
    <w:p w:rsidR="006C28DB" w:rsidRDefault="00D138F4">
      <w:pPr>
        <w:numPr>
          <w:ilvl w:val="0"/>
          <w:numId w:val="3"/>
        </w:numPr>
        <w:ind w:right="0" w:hanging="360"/>
      </w:pPr>
      <w:r>
        <w:t>Dziecko odczuwa lęk przed rod</w:t>
      </w:r>
      <w:r>
        <w:t xml:space="preserve">zicem lub opiekunem. Dziecko zgłasza obawę dotyczącą powrotu do domu. </w:t>
      </w:r>
    </w:p>
    <w:p w:rsidR="006C28DB" w:rsidRDefault="00D138F4">
      <w:pPr>
        <w:numPr>
          <w:ilvl w:val="0"/>
          <w:numId w:val="3"/>
        </w:numPr>
        <w:spacing w:after="162" w:line="259" w:lineRule="auto"/>
        <w:ind w:right="0" w:hanging="360"/>
      </w:pPr>
      <w:r>
        <w:t xml:space="preserve">Dziecko jest pasywne, wycofane, uległe i przerażone. </w:t>
      </w:r>
    </w:p>
    <w:p w:rsidR="006C28DB" w:rsidRDefault="00D138F4">
      <w:pPr>
        <w:numPr>
          <w:ilvl w:val="0"/>
          <w:numId w:val="3"/>
        </w:numPr>
        <w:ind w:right="0" w:hanging="360"/>
      </w:pPr>
      <w:r>
        <w:t xml:space="preserve">Dziecko cierpi na powtarzające się dolegliwości somatyczne, takie jak bóle brzucha, głowy, mdłości itp. </w:t>
      </w:r>
    </w:p>
    <w:p w:rsidR="006C28DB" w:rsidRDefault="00D138F4">
      <w:pPr>
        <w:numPr>
          <w:ilvl w:val="0"/>
          <w:numId w:val="3"/>
        </w:numPr>
        <w:ind w:right="0" w:hanging="360"/>
      </w:pPr>
      <w:r>
        <w:t>Dziecko oddaje mocz bez uz</w:t>
      </w:r>
      <w:r>
        <w:t xml:space="preserve">asadnienia lub w konkretnych sytuacjach czy na widok określonych osób. </w:t>
      </w:r>
    </w:p>
    <w:p w:rsidR="006C28DB" w:rsidRDefault="00D138F4">
      <w:pPr>
        <w:numPr>
          <w:ilvl w:val="0"/>
          <w:numId w:val="3"/>
        </w:numPr>
        <w:spacing w:after="120" w:line="259" w:lineRule="auto"/>
        <w:ind w:right="0" w:hanging="360"/>
      </w:pPr>
      <w:r>
        <w:t xml:space="preserve">Nastąpiła nagła i wyraźna zmiana w zachowaniu dziecka. </w:t>
      </w:r>
    </w:p>
    <w:p w:rsidR="006C28DB" w:rsidRDefault="00D138F4">
      <w:pPr>
        <w:spacing w:after="155" w:line="259" w:lineRule="auto"/>
        <w:ind w:left="59" w:right="0" w:firstLine="0"/>
        <w:jc w:val="center"/>
      </w:pPr>
      <w:r>
        <w:rPr>
          <w:b/>
        </w:rPr>
        <w:t xml:space="preserve"> </w:t>
      </w:r>
    </w:p>
    <w:p w:rsidR="006C28DB" w:rsidRDefault="00D138F4">
      <w:pPr>
        <w:spacing w:after="165" w:line="259" w:lineRule="auto"/>
        <w:ind w:left="10" w:right="4" w:hanging="10"/>
        <w:jc w:val="center"/>
      </w:pPr>
      <w:r>
        <w:rPr>
          <w:b/>
        </w:rPr>
        <w:t>§ 3</w:t>
      </w:r>
      <w:r>
        <w:t xml:space="preserve"> </w:t>
      </w:r>
    </w:p>
    <w:p w:rsidR="006C28DB" w:rsidRDefault="00D138F4">
      <w:pPr>
        <w:spacing w:after="111" w:line="259" w:lineRule="auto"/>
        <w:ind w:left="10" w:right="7" w:hanging="10"/>
        <w:jc w:val="center"/>
      </w:pPr>
      <w:r>
        <w:rPr>
          <w:b/>
        </w:rPr>
        <w:t xml:space="preserve">Procedury postępowania w przypadku krzywdzenia małoletniego przez dorosłego </w:t>
      </w:r>
    </w:p>
    <w:p w:rsidR="006C28DB" w:rsidRDefault="00D138F4">
      <w:pPr>
        <w:spacing w:after="136" w:line="259" w:lineRule="auto"/>
        <w:ind w:left="59" w:right="0" w:firstLine="0"/>
        <w:jc w:val="center"/>
      </w:pPr>
      <w:r>
        <w:t xml:space="preserve"> </w:t>
      </w:r>
    </w:p>
    <w:p w:rsidR="006C28DB" w:rsidRDefault="00D138F4">
      <w:pPr>
        <w:ind w:left="-1" w:right="0" w:firstLine="0"/>
      </w:pPr>
      <w:r>
        <w:t xml:space="preserve">W sytuacji, gdy pracownik otrzymuje informacje o krzywdzeniu małoletniego lub ma podejrzenia co do tego zdarzenia, ma obowiązek podjąć następujące kroki: </w:t>
      </w:r>
    </w:p>
    <w:p w:rsidR="006C28DB" w:rsidRDefault="00D138F4">
      <w:pPr>
        <w:numPr>
          <w:ilvl w:val="0"/>
          <w:numId w:val="4"/>
        </w:numPr>
        <w:ind w:right="0" w:hanging="360"/>
      </w:pPr>
      <w:r>
        <w:t>Wezwać pogotowie ratunkowe w przypadku poważnych obrażeń ciała, jeśli uszkodzenia nie wymagają natych</w:t>
      </w:r>
      <w:r>
        <w:t xml:space="preserve">miastowej interwencji pogotowia, udzielić pierwszej pomocy. </w:t>
      </w:r>
    </w:p>
    <w:p w:rsidR="006C28DB" w:rsidRDefault="00D138F4">
      <w:pPr>
        <w:numPr>
          <w:ilvl w:val="0"/>
          <w:numId w:val="4"/>
        </w:numPr>
        <w:ind w:right="0" w:hanging="360"/>
      </w:pPr>
      <w:r>
        <w:lastRenderedPageBreak/>
        <w:t xml:space="preserve">Powiadomić dyrektora przedszkola/ wicedyrektora/ logopedę o zdarzeniu czy o własnych podejrzeniach dotyczących krzywdzenia małoletniego. </w:t>
      </w:r>
    </w:p>
    <w:p w:rsidR="006C28DB" w:rsidRDefault="00D138F4">
      <w:pPr>
        <w:numPr>
          <w:ilvl w:val="0"/>
          <w:numId w:val="4"/>
        </w:numPr>
        <w:ind w:right="0" w:hanging="360"/>
      </w:pPr>
      <w:r>
        <w:t>Sporządzić notatkę służbową opisującą zdarzenie, zwłaszcz</w:t>
      </w:r>
      <w:r>
        <w:t xml:space="preserve">a przyczyny podejrzenia krzywdzenia małoletniego i przekazać do pedagoga. </w:t>
      </w:r>
    </w:p>
    <w:p w:rsidR="006C28DB" w:rsidRDefault="00D138F4">
      <w:pPr>
        <w:ind w:left="-1" w:right="0" w:firstLine="0"/>
      </w:pPr>
      <w:r>
        <w:t xml:space="preserve">W momencie powiadamiania dyrektora /wicedyrektora/ logopedę o podejrzeniu krzywdzenia małoletniego, pracownik powinien: </w:t>
      </w:r>
    </w:p>
    <w:p w:rsidR="006C28DB" w:rsidRDefault="00D138F4">
      <w:pPr>
        <w:numPr>
          <w:ilvl w:val="0"/>
          <w:numId w:val="5"/>
        </w:numPr>
        <w:ind w:right="0" w:hanging="360"/>
      </w:pPr>
      <w:r>
        <w:t>Przedstawić formy i okoliczności krzywdzenia, które udało mu</w:t>
      </w:r>
      <w:r>
        <w:t xml:space="preserve"> się ustalić lub które podejrzewa, że wystąpiły. </w:t>
      </w:r>
    </w:p>
    <w:p w:rsidR="006C28DB" w:rsidRDefault="00D138F4">
      <w:pPr>
        <w:numPr>
          <w:ilvl w:val="0"/>
          <w:numId w:val="5"/>
        </w:numPr>
        <w:ind w:right="0" w:hanging="360"/>
      </w:pPr>
      <w:r>
        <w:t xml:space="preserve">Poinformować o zrachowaniach i wypowiedziach dziecka wskazujących na doświadczenie krzywdzenia. </w:t>
      </w:r>
    </w:p>
    <w:p w:rsidR="006C28DB" w:rsidRDefault="00D138F4">
      <w:pPr>
        <w:ind w:left="-1" w:right="0" w:firstLine="0"/>
      </w:pPr>
      <w:r>
        <w:t xml:space="preserve">W przypadku podejrzenia popełnienia wobec małoletniego jednego z przestępstw wymienionych wcześniej: </w:t>
      </w:r>
    </w:p>
    <w:p w:rsidR="006C28DB" w:rsidRDefault="00D138F4">
      <w:pPr>
        <w:numPr>
          <w:ilvl w:val="0"/>
          <w:numId w:val="6"/>
        </w:numPr>
        <w:ind w:right="0" w:hanging="360"/>
      </w:pPr>
      <w:r>
        <w:t>Dyrekto</w:t>
      </w:r>
      <w:r>
        <w:t xml:space="preserve">r przedszkola składa zawiadomienie na policję lub do prokuratury, realizując obowiązek wynikający z art. 304 § 2 Kodeksu postępowania karnego. </w:t>
      </w:r>
    </w:p>
    <w:p w:rsidR="006C28DB" w:rsidRDefault="00D138F4">
      <w:pPr>
        <w:numPr>
          <w:ilvl w:val="0"/>
          <w:numId w:val="6"/>
        </w:numPr>
        <w:spacing w:after="164" w:line="259" w:lineRule="auto"/>
        <w:ind w:right="0" w:hanging="360"/>
      </w:pPr>
      <w:r>
        <w:t xml:space="preserve">Logopeda wszczyna działania zgodnie z procedurą „Niebieskie Karty”. </w:t>
      </w:r>
    </w:p>
    <w:p w:rsidR="006C28DB" w:rsidRDefault="00D138F4">
      <w:pPr>
        <w:numPr>
          <w:ilvl w:val="0"/>
          <w:numId w:val="6"/>
        </w:numPr>
        <w:ind w:right="0" w:hanging="360"/>
      </w:pPr>
      <w:r>
        <w:t>Dyrektor podejmuje niezbędne czynności do c</w:t>
      </w:r>
      <w:r>
        <w:t xml:space="preserve">zasu przybycia organu ścigania lub do czasu wydania przez ten organ stosownego zarządzenia, aby nie dopuścić do zatarcia śladów i utraty dowodów przestępstwa, jeśli miało ono miejsce na terenie placówki. </w:t>
      </w:r>
      <w:r>
        <w:rPr>
          <w:b/>
        </w:rPr>
        <w:t>§ 4</w:t>
      </w:r>
      <w:r>
        <w:t xml:space="preserve"> </w:t>
      </w:r>
    </w:p>
    <w:p w:rsidR="006C28DB" w:rsidRDefault="00D138F4">
      <w:pPr>
        <w:ind w:left="-1" w:right="0" w:firstLine="173"/>
      </w:pPr>
      <w:r>
        <w:rPr>
          <w:b/>
        </w:rPr>
        <w:t xml:space="preserve">Procedury postępowania </w:t>
      </w:r>
      <w:r>
        <w:rPr>
          <w:b/>
        </w:rPr>
        <w:t>w przypadku przemocy rówieśniczej w tym cyberprzemocy.</w:t>
      </w:r>
      <w:r>
        <w:t xml:space="preserve"> W sytuacji, gdy pracownik otrzymuje informacje o krzywdzeniu małoletniego jest tego świadkiem lub ma podejrzenia co do tego zdarzenia, ma obowiązek podjąć następujące kroki: </w:t>
      </w:r>
    </w:p>
    <w:p w:rsidR="006C28DB" w:rsidRDefault="00D138F4">
      <w:pPr>
        <w:numPr>
          <w:ilvl w:val="0"/>
          <w:numId w:val="7"/>
        </w:numPr>
        <w:ind w:right="0" w:hanging="360"/>
      </w:pPr>
      <w:r>
        <w:t xml:space="preserve">Wezwać pogotowie ratunkowe w przypadku poważnych obrażeń ciała, jeśli uszkodzenia nie wymagają natychmiastowej interwencji pogotowia, udzielić pierwszej pomocy. </w:t>
      </w:r>
    </w:p>
    <w:p w:rsidR="006C28DB" w:rsidRDefault="00D138F4">
      <w:pPr>
        <w:numPr>
          <w:ilvl w:val="0"/>
          <w:numId w:val="7"/>
        </w:numPr>
        <w:ind w:right="0" w:hanging="360"/>
      </w:pPr>
      <w:r>
        <w:t>Powiadomić dyrektora przedszkola/ wicedyrektora/ logopedę zdarzeniu lub o własnych podejrzenia</w:t>
      </w:r>
      <w:r>
        <w:t xml:space="preserve">ch dotyczących krzywdzenia małoletniego. </w:t>
      </w:r>
    </w:p>
    <w:p w:rsidR="006C28DB" w:rsidRDefault="00D138F4">
      <w:pPr>
        <w:numPr>
          <w:ilvl w:val="0"/>
          <w:numId w:val="7"/>
        </w:numPr>
        <w:ind w:right="0" w:hanging="360"/>
      </w:pPr>
      <w:r>
        <w:t xml:space="preserve">Sporządzić notatkę służbową opisującą zdarzenie, zwłaszcza przyczyny podejrzenia krzywdzenia małoletniego i wraz z dostępnymi materiałami przekazać do wicedyrektora lub logopedy. </w:t>
      </w:r>
    </w:p>
    <w:p w:rsidR="006C28DB" w:rsidRDefault="00D138F4">
      <w:pPr>
        <w:numPr>
          <w:ilvl w:val="0"/>
          <w:numId w:val="7"/>
        </w:numPr>
        <w:ind w:right="0" w:hanging="360"/>
      </w:pPr>
      <w:r>
        <w:t>Wicedyrektor/ logopeda w porozumie</w:t>
      </w:r>
      <w:r>
        <w:t xml:space="preserve">niu z wychowawcą ustala plan wsparcia i działań, włącznie z potrzebą powiadomienia organów ścigania przekazując informację dyrektorowi. </w:t>
      </w:r>
    </w:p>
    <w:p w:rsidR="006C28DB" w:rsidRDefault="00D138F4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6C28DB">
      <w:pgSz w:w="11906" w:h="16838"/>
      <w:pgMar w:top="1433" w:right="1415" w:bottom="148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DA7"/>
    <w:multiLevelType w:val="hybridMultilevel"/>
    <w:tmpl w:val="234C7DEC"/>
    <w:lvl w:ilvl="0" w:tplc="4F6A089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E8D63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9223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88990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52C7C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1629F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C87D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24834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8C6A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2114A"/>
    <w:multiLevelType w:val="hybridMultilevel"/>
    <w:tmpl w:val="0C602FC2"/>
    <w:lvl w:ilvl="0" w:tplc="9626DB6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0209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3ED9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08D2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52F0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8E04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845B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A5E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FC67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7F5FCB"/>
    <w:multiLevelType w:val="hybridMultilevel"/>
    <w:tmpl w:val="4D96F0DE"/>
    <w:lvl w:ilvl="0" w:tplc="19B2437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C254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CEF4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0A1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BAE2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D00D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AAD3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7624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868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4F42D7"/>
    <w:multiLevelType w:val="hybridMultilevel"/>
    <w:tmpl w:val="E654B6D8"/>
    <w:lvl w:ilvl="0" w:tplc="1A6CEC9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FCCD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E8D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0E67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EED7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18C7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AE2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8EB3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022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C10DAB"/>
    <w:multiLevelType w:val="hybridMultilevel"/>
    <w:tmpl w:val="2228BCB4"/>
    <w:lvl w:ilvl="0" w:tplc="FEC0BBE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230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D2E9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CA4B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05E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E3C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701D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EA6D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B827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89092B"/>
    <w:multiLevelType w:val="hybridMultilevel"/>
    <w:tmpl w:val="A9FCD65E"/>
    <w:lvl w:ilvl="0" w:tplc="530695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D061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A657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4850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0FA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A29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429B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A4FA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422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323E84"/>
    <w:multiLevelType w:val="hybridMultilevel"/>
    <w:tmpl w:val="370C35D4"/>
    <w:lvl w:ilvl="0" w:tplc="8C762A6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0EB4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8231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BEF9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428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BECD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D2BE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E2C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800F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8DB"/>
    <w:rsid w:val="006C28DB"/>
    <w:rsid w:val="00D1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CFFAF-A2D4-40F1-BA43-D18902FB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2" w:line="387" w:lineRule="auto"/>
      <w:ind w:left="384" w:right="5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Gulińska</dc:creator>
  <cp:keywords/>
  <cp:lastModifiedBy>kornelia maryniak</cp:lastModifiedBy>
  <cp:revision>2</cp:revision>
  <dcterms:created xsi:type="dcterms:W3CDTF">2024-08-18T19:13:00Z</dcterms:created>
  <dcterms:modified xsi:type="dcterms:W3CDTF">2024-08-18T19:13:00Z</dcterms:modified>
</cp:coreProperties>
</file>